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CC838" w14:textId="77777777" w:rsidR="0015398A" w:rsidRPr="00DF28D2" w:rsidRDefault="0015398A" w:rsidP="00DF28D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28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POSTOPERATIVE TROPONIN ELEVATIONS PORTEND A HIGH MORTALITY RISK EVEN IN LOW-RISK PATIENTS</w:t>
      </w:r>
    </w:p>
    <w:p w14:paraId="047A780B" w14:textId="77777777" w:rsidR="00DF28D2" w:rsidRDefault="0015398A" w:rsidP="00DF28D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28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E. </w:t>
      </w:r>
      <w:proofErr w:type="spellStart"/>
      <w:r w:rsidRPr="00DF28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Pivato</w:t>
      </w:r>
      <w:proofErr w:type="spellEnd"/>
      <w:r w:rsidRPr="00DF28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S. </w:t>
      </w:r>
      <w:proofErr w:type="spellStart"/>
      <w:r w:rsidRPr="00DF28D2">
        <w:rPr>
          <w:rFonts w:ascii="Times New Roman" w:eastAsia="Times New Roman" w:hAnsi="Times New Roman" w:cs="Times New Roman"/>
          <w:color w:val="000000"/>
          <w:sz w:val="24"/>
          <w:szCs w:val="24"/>
        </w:rPr>
        <w:t>Vasireddi</w:t>
      </w:r>
      <w:proofErr w:type="spellEnd"/>
      <w:r w:rsidRPr="00DF28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L. James, M. </w:t>
      </w:r>
      <w:proofErr w:type="spellStart"/>
      <w:r w:rsidRPr="00DF28D2">
        <w:rPr>
          <w:rFonts w:ascii="Times New Roman" w:eastAsia="Times New Roman" w:hAnsi="Times New Roman" w:cs="Times New Roman"/>
          <w:color w:val="000000"/>
          <w:sz w:val="24"/>
          <w:szCs w:val="24"/>
        </w:rPr>
        <w:t>Kondapaneni</w:t>
      </w:r>
      <w:proofErr w:type="spellEnd"/>
    </w:p>
    <w:p w14:paraId="1C421A20" w14:textId="43A11C22" w:rsidR="0015398A" w:rsidRPr="00DF28D2" w:rsidRDefault="0015398A" w:rsidP="00DF28D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F28D2">
        <w:rPr>
          <w:rFonts w:ascii="Times New Roman" w:eastAsia="Times New Roman" w:hAnsi="Times New Roman" w:cs="Times New Roman"/>
          <w:color w:val="000000"/>
          <w:sz w:val="24"/>
          <w:szCs w:val="24"/>
        </w:rPr>
        <w:t>MetroHealth</w:t>
      </w:r>
      <w:proofErr w:type="spellEnd"/>
      <w:r w:rsidRPr="00DF28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Medical Center, Cleveland, OH, USA</w:t>
      </w:r>
    </w:p>
    <w:p w14:paraId="2EF0F66C" w14:textId="77777777" w:rsidR="0015398A" w:rsidRPr="00DF28D2" w:rsidRDefault="0015398A" w:rsidP="00DF28D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B864B3" w14:textId="77777777" w:rsidR="00DF28D2" w:rsidRDefault="0015398A" w:rsidP="00DF28D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28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Objective:</w:t>
      </w:r>
      <w:r w:rsidRPr="00DF28D2">
        <w:rPr>
          <w:rFonts w:ascii="Times New Roman" w:eastAsia="Times New Roman" w:hAnsi="Times New Roman" w:cs="Times New Roman"/>
          <w:color w:val="000000"/>
          <w:sz w:val="24"/>
          <w:szCs w:val="24"/>
        </w:rPr>
        <w:t> Prior studies have shown an association between postoperative troponin elevation and all-cause mortality. However, among these patients it is unknown if there is a difference in all-cause mortality based on their preoperative risk. We suspect that postoperative troponin elevation forebodes a high risk of all-cause mortality regardless of preoperative risk.</w:t>
      </w:r>
    </w:p>
    <w:p w14:paraId="7DE1D92F" w14:textId="77777777" w:rsidR="00DF28D2" w:rsidRDefault="0015398A" w:rsidP="00DF28D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28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Method:</w:t>
      </w:r>
      <w:r w:rsidRPr="00DF28D2">
        <w:rPr>
          <w:rFonts w:ascii="Times New Roman" w:eastAsia="Times New Roman" w:hAnsi="Times New Roman" w:cs="Times New Roman"/>
          <w:color w:val="000000"/>
          <w:sz w:val="24"/>
          <w:szCs w:val="24"/>
        </w:rPr>
        <w:t> A retrospective chart review identified 548 patients (211 patients in the study group, 337 in the control group) who had undergone non-cardiac surgery that required an overnight hospital stay and had a troponin-I level drawn within 14 days of operation. The study group had a troponin-I of 2x the upper limit of normal (ULN) at 0.08 while the control group's troponin was below the ULN. Inclusion criteria: age 40-80 and at least two cardiovascular risk factors. Neurosurgical patients, chest trauma and PE were excluded. Individual NSQIP and RCRI preoperative risk scores were calculated. Kaplan-Meir survival analyses were performed on the study versus control group and within the study group comparing the low- and high-risk patients within 1 year of surgery.</w:t>
      </w:r>
    </w:p>
    <w:p w14:paraId="5AF931EE" w14:textId="77777777" w:rsidR="00DF28D2" w:rsidRDefault="0015398A" w:rsidP="00DF28D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28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Results:</w:t>
      </w:r>
      <w:r w:rsidRPr="00DF28D2">
        <w:rPr>
          <w:rFonts w:ascii="Times New Roman" w:eastAsia="Times New Roman" w:hAnsi="Times New Roman" w:cs="Times New Roman"/>
          <w:color w:val="000000"/>
          <w:sz w:val="24"/>
          <w:szCs w:val="24"/>
        </w:rPr>
        <w:t> Of the study group, 28% were deceased within 1 year of surgery compared with 8% in the control group (p&lt;0.001). The patients’ baseline characteristics (i.e. sex, age, and cardiovascular risk factors) were similar between the two groups. Within the study group, 71% were classified as low-risk per NSQIP, and 67% as low-risk per RCRI. Comparing the low- versus high-risk groups per NSQIP showed a 1-year survival of 79% versus 68% (p=0.083) respectively. Comparing the low- versus high-risk groups per RCRI showed a 1-year survival of 78% versus 73% (p=0.323) respectively.</w:t>
      </w:r>
    </w:p>
    <w:p w14:paraId="6D2A5AEF" w14:textId="24FD5D71" w:rsidR="0015398A" w:rsidRPr="00DF28D2" w:rsidRDefault="0015398A" w:rsidP="00DF28D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28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Conclusion: </w:t>
      </w:r>
      <w:r w:rsidRPr="00DF28D2">
        <w:rPr>
          <w:rFonts w:ascii="Times New Roman" w:eastAsia="Times New Roman" w:hAnsi="Times New Roman" w:cs="Times New Roman"/>
          <w:color w:val="000000"/>
          <w:sz w:val="24"/>
          <w:szCs w:val="24"/>
        </w:rPr>
        <w:t>Our work reveals that patients with postoperative troponin-I elevations have clinically significant all-cause mortality compared with those who do not have a troponin-I elevation. For the study group, mortality was clinically significant regardless of their preoperative risk classification. This study implies a potential role for postoperative troponin screening to identify high risk patients for further evaluation and close follow up, independent of their preoperative risk.</w:t>
      </w:r>
    </w:p>
    <w:p w14:paraId="0CEF6A87" w14:textId="77777777" w:rsidR="0015398A" w:rsidRPr="00DF28D2" w:rsidRDefault="0015398A" w:rsidP="00DF28D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D67F81" w14:textId="77777777" w:rsidR="00345DBB" w:rsidRPr="00DF28D2" w:rsidRDefault="00EB49CA" w:rsidP="00DF28D2">
      <w:pPr>
        <w:rPr>
          <w:sz w:val="24"/>
          <w:szCs w:val="24"/>
        </w:rPr>
      </w:pPr>
      <w:bookmarkStart w:id="0" w:name="_GoBack"/>
      <w:bookmarkEnd w:id="0"/>
    </w:p>
    <w:sectPr w:rsidR="00345DBB" w:rsidRPr="00DF28D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02323" w14:textId="77777777" w:rsidR="00EB49CA" w:rsidRDefault="00EB49CA" w:rsidP="00DF28D2">
      <w:r>
        <w:separator/>
      </w:r>
    </w:p>
  </w:endnote>
  <w:endnote w:type="continuationSeparator" w:id="0">
    <w:p w14:paraId="01EEA23F" w14:textId="77777777" w:rsidR="00EB49CA" w:rsidRDefault="00EB49CA" w:rsidP="00DF2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2B251" w14:textId="77777777" w:rsidR="00EB49CA" w:rsidRDefault="00EB49CA" w:rsidP="00DF28D2">
      <w:r>
        <w:separator/>
      </w:r>
    </w:p>
  </w:footnote>
  <w:footnote w:type="continuationSeparator" w:id="0">
    <w:p w14:paraId="31B87FBE" w14:textId="77777777" w:rsidR="00EB49CA" w:rsidRDefault="00EB49CA" w:rsidP="00DF2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350C2" w14:textId="350C2343" w:rsidR="00DF28D2" w:rsidRPr="00DF28D2" w:rsidRDefault="00DF28D2" w:rsidP="00DF28D2">
    <w:pPr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DF28D2">
      <w:rPr>
        <w:rFonts w:ascii="Times New Roman" w:eastAsia="Times New Roman" w:hAnsi="Times New Roman" w:cs="Times New Roman"/>
        <w:color w:val="000000"/>
        <w:sz w:val="24"/>
        <w:szCs w:val="24"/>
      </w:rPr>
      <w:t>18-A-1300-IAC</w:t>
    </w:r>
  </w:p>
  <w:p w14:paraId="5496279D" w14:textId="3C196388" w:rsidR="00DF28D2" w:rsidRDefault="00DF28D2">
    <w:pPr>
      <w:pStyle w:val="Header"/>
    </w:pPr>
  </w:p>
  <w:p w14:paraId="1C3D7E68" w14:textId="77777777" w:rsidR="00DF28D2" w:rsidRDefault="00DF28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98A"/>
    <w:rsid w:val="0015398A"/>
    <w:rsid w:val="0030401F"/>
    <w:rsid w:val="008A10D5"/>
    <w:rsid w:val="00A128E1"/>
    <w:rsid w:val="00DF28D2"/>
    <w:rsid w:val="00E7251E"/>
    <w:rsid w:val="00EB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2D06E"/>
  <w15:chartTrackingRefBased/>
  <w15:docId w15:val="{DB87FCF8-455F-4361-ABF5-174554329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39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8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8D2"/>
  </w:style>
  <w:style w:type="paragraph" w:styleId="Footer">
    <w:name w:val="footer"/>
    <w:basedOn w:val="Normal"/>
    <w:link w:val="FooterChar"/>
    <w:uiPriority w:val="99"/>
    <w:unhideWhenUsed/>
    <w:rsid w:val="00DF28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Nahari</dc:creator>
  <cp:keywords/>
  <dc:description/>
  <cp:lastModifiedBy>Karyn Nahari</cp:lastModifiedBy>
  <cp:revision>2</cp:revision>
  <dcterms:created xsi:type="dcterms:W3CDTF">2018-05-28T14:11:00Z</dcterms:created>
  <dcterms:modified xsi:type="dcterms:W3CDTF">2018-07-01T10:28:00Z</dcterms:modified>
</cp:coreProperties>
</file>